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9E" w:rsidRPr="004C441A" w:rsidRDefault="00000EB1" w:rsidP="004C441A">
      <w:pPr>
        <w:spacing w:after="159" w:line="259" w:lineRule="auto"/>
        <w:jc w:val="center"/>
        <w:rPr>
          <w:b/>
          <w:sz w:val="28"/>
          <w:szCs w:val="28"/>
        </w:rPr>
      </w:pPr>
      <w:r w:rsidRPr="004C441A">
        <w:rPr>
          <w:b/>
          <w:sz w:val="28"/>
          <w:szCs w:val="28"/>
        </w:rPr>
        <w:t>Règlement Challenge Auvergne Hubert Dupont</w:t>
      </w:r>
    </w:p>
    <w:p w:rsidR="00141C12" w:rsidRDefault="008E3965" w:rsidP="004C441A">
      <w:pPr>
        <w:ind w:left="-5" w:right="1"/>
        <w:jc w:val="both"/>
      </w:pPr>
      <w:r>
        <w:t xml:space="preserve">Objectifs : Ce Challenge prend en compte des tournois de ville homologués, organisés dans le Comité de </w:t>
      </w:r>
      <w:r w:rsidR="00000EB1">
        <w:t>d’Auvergne</w:t>
      </w:r>
      <w:r>
        <w:t xml:space="preserve"> durant les week</w:t>
      </w:r>
      <w:r w:rsidR="00C830E2">
        <w:t>-ends et jours fériés</w:t>
      </w:r>
      <w:r>
        <w:t>. Ces tournois sont ouverts à tous</w:t>
      </w:r>
      <w:r w:rsidR="00FB1F9E">
        <w:t xml:space="preserve">. </w:t>
      </w:r>
      <w:r>
        <w:t xml:space="preserve">Pour qu’un tournoi fasse partie du Challenge, les organisateurs doivent procéder à l’inscription </w:t>
      </w:r>
      <w:r w:rsidR="00FB1F9E">
        <w:t xml:space="preserve">sur le site de la FFB </w:t>
      </w:r>
      <w:r>
        <w:t xml:space="preserve">et </w:t>
      </w:r>
      <w:r w:rsidR="00FB1F9E">
        <w:t>suivre les recommandations</w:t>
      </w:r>
      <w:r>
        <w:t xml:space="preserve"> ci-dessous. </w:t>
      </w:r>
    </w:p>
    <w:p w:rsidR="00141C12" w:rsidRDefault="008E3965" w:rsidP="004C441A">
      <w:pPr>
        <w:ind w:left="-5" w:right="1"/>
        <w:jc w:val="both"/>
      </w:pPr>
      <w:r>
        <w:t xml:space="preserve"> Le Classement général, établi en fin de saison et présenté lors de l’Assemblée Générale du Comité, donne lieu à l’attribution de points de performance (PP) et de points d’experts (PE)</w:t>
      </w:r>
      <w:r w:rsidR="00FB1F9E">
        <w:t xml:space="preserve"> aux licenciés du comité d’Auvergne</w:t>
      </w:r>
      <w:r>
        <w:t xml:space="preserve">. </w:t>
      </w:r>
    </w:p>
    <w:p w:rsidR="00141C12" w:rsidRDefault="008E3965" w:rsidP="00B956F7">
      <w:pPr>
        <w:spacing w:after="159" w:line="259" w:lineRule="auto"/>
        <w:ind w:left="-5"/>
        <w:jc w:val="both"/>
      </w:pPr>
      <w:r>
        <w:rPr>
          <w:b/>
        </w:rPr>
        <w:t xml:space="preserve"> Son objectif principal est d’encour</w:t>
      </w:r>
      <w:r w:rsidR="000E3F6A">
        <w:rPr>
          <w:b/>
        </w:rPr>
        <w:t xml:space="preserve">ager les licenciés du Comité d’Auvergne </w:t>
      </w:r>
      <w:r>
        <w:rPr>
          <w:b/>
        </w:rPr>
        <w:t xml:space="preserve">à participer aux tournois homologués </w:t>
      </w:r>
      <w:r w:rsidRPr="004B1C30">
        <w:rPr>
          <w:b/>
          <w:color w:val="auto"/>
        </w:rPr>
        <w:t>organisés par les clubs du Comité</w:t>
      </w:r>
      <w:r>
        <w:t>, et ainsi d’appuyer l’engagement des organisateurs</w:t>
      </w:r>
      <w:r w:rsidRPr="004B1C30">
        <w:t xml:space="preserve">. </w:t>
      </w:r>
      <w:r>
        <w:rPr>
          <w:b/>
        </w:rPr>
        <w:t xml:space="preserve"> </w:t>
      </w:r>
    </w:p>
    <w:p w:rsidR="00B956F7" w:rsidRDefault="00B956F7" w:rsidP="00B956F7">
      <w:pPr>
        <w:spacing w:after="159" w:line="259" w:lineRule="auto"/>
        <w:ind w:left="-5"/>
        <w:jc w:val="both"/>
      </w:pPr>
    </w:p>
    <w:p w:rsidR="00141C12" w:rsidRDefault="00FB1F9E" w:rsidP="000F22CE">
      <w:pPr>
        <w:numPr>
          <w:ilvl w:val="0"/>
          <w:numId w:val="1"/>
        </w:numPr>
        <w:spacing w:after="102" w:line="259" w:lineRule="auto"/>
        <w:ind w:firstLine="7"/>
      </w:pPr>
      <w:r>
        <w:rPr>
          <w:sz w:val="28"/>
        </w:rPr>
        <w:t>Procédures</w:t>
      </w:r>
    </w:p>
    <w:p w:rsidR="00141C12" w:rsidRDefault="008E3965" w:rsidP="00FB1F9E">
      <w:pPr>
        <w:ind w:left="-5" w:right="1"/>
        <w:jc w:val="both"/>
      </w:pPr>
      <w:r>
        <w:t xml:space="preserve">Toute demande pour intégrer le Challenge </w:t>
      </w:r>
      <w:r w:rsidR="00000EB1">
        <w:t>Hubert Dupont</w:t>
      </w:r>
      <w:r>
        <w:t xml:space="preserve"> doit être faite au minimum 2 mois avant la date proposée pour ce festival.  </w:t>
      </w:r>
    </w:p>
    <w:p w:rsidR="00141C12" w:rsidRDefault="008E3965" w:rsidP="00FB1F9E">
      <w:pPr>
        <w:spacing w:after="217"/>
        <w:ind w:left="-5" w:right="1"/>
        <w:jc w:val="both"/>
      </w:pPr>
      <w:r>
        <w:t xml:space="preserve">Pour paraître dans l’agenda des compétitions, les dates doivent être communiquées au </w:t>
      </w:r>
      <w:r w:rsidR="00000EB1">
        <w:t xml:space="preserve">directeur des compétitions </w:t>
      </w:r>
      <w:r>
        <w:t xml:space="preserve">avant le </w:t>
      </w:r>
      <w:r w:rsidR="00000EB1">
        <w:t>30 juin.</w:t>
      </w:r>
      <w:r>
        <w:t xml:space="preserve"> </w:t>
      </w:r>
    </w:p>
    <w:p w:rsidR="00141C12" w:rsidRDefault="004C441A" w:rsidP="00FB1F9E">
      <w:pPr>
        <w:ind w:left="-5" w:right="1"/>
        <w:jc w:val="both"/>
      </w:pPr>
      <w:r>
        <w:t>C</w:t>
      </w:r>
      <w:r w:rsidR="008E3965">
        <w:t xml:space="preserve">onsignes à respecter pour qu’un tournoi fasse partie du Challenge </w:t>
      </w:r>
      <w:r w:rsidR="00000EB1">
        <w:t>Hubert Dupont</w:t>
      </w:r>
      <w:r w:rsidR="008E3965">
        <w:t xml:space="preserve">  </w:t>
      </w:r>
    </w:p>
    <w:p w:rsidR="00141C12" w:rsidRDefault="008E3965" w:rsidP="00FB1F9E">
      <w:pPr>
        <w:spacing w:after="180" w:line="259" w:lineRule="auto"/>
        <w:ind w:left="-5"/>
        <w:jc w:val="both"/>
      </w:pPr>
      <w:r>
        <w:t xml:space="preserve">→ </w:t>
      </w:r>
      <w:r w:rsidRPr="00FB1F9E">
        <w:t>Tournoi du Challenge par paires sur 1 séance : minimum 27 donnes jouées pour chaque paire (NS-EW)</w:t>
      </w:r>
      <w:r>
        <w:rPr>
          <w:sz w:val="20"/>
        </w:rPr>
        <w:t xml:space="preserve"> </w:t>
      </w:r>
    </w:p>
    <w:p w:rsidR="00141C12" w:rsidRDefault="008E3965" w:rsidP="00FB1F9E">
      <w:pPr>
        <w:ind w:left="-5" w:right="1"/>
        <w:jc w:val="both"/>
      </w:pPr>
      <w:r>
        <w:t>→ L’arbitre ne peut être joueur</w:t>
      </w:r>
      <w:r w:rsidR="00FB1F9E">
        <w:t>, ainsi</w:t>
      </w:r>
      <w:r w:rsidR="00D51E35">
        <w:t xml:space="preserve"> que la personne ayant dupliqué</w:t>
      </w:r>
      <w:r w:rsidR="00FB1F9E">
        <w:t xml:space="preserve"> les donnes.</w:t>
      </w:r>
    </w:p>
    <w:p w:rsidR="00B956F7" w:rsidRDefault="005F13A4" w:rsidP="00FB1F9E">
      <w:pPr>
        <w:ind w:left="-5" w:right="1"/>
        <w:jc w:val="both"/>
      </w:pPr>
      <w:r>
        <w:t xml:space="preserve">→ </w:t>
      </w:r>
      <w:r w:rsidR="00FB1F9E">
        <w:t xml:space="preserve">Recommandations : dans le cadre d’un tournoi en une séance, il est préconisé de récompenser les deux premiers de chaque ligne 1er (EO/NS) à l’identique et 2ème (NS/EO) à l’identique. </w:t>
      </w:r>
    </w:p>
    <w:p w:rsidR="00D51E35" w:rsidRDefault="00D51E35" w:rsidP="00FB1F9E">
      <w:pPr>
        <w:ind w:left="-5" w:right="1"/>
        <w:jc w:val="both"/>
      </w:pPr>
      <w:r>
        <w:t>S'il était contrevenu à ces règles, le Comité d'Auvergne de Bridge, en la personne de son Président se réserve  la possibilité de prendre les mesures qu'il jugera utile.</w:t>
      </w:r>
    </w:p>
    <w:p w:rsidR="00000EB1" w:rsidRDefault="00000EB1">
      <w:pPr>
        <w:ind w:left="-5" w:right="1"/>
      </w:pPr>
    </w:p>
    <w:p w:rsidR="00141C12" w:rsidRDefault="000F22CE" w:rsidP="000F22CE">
      <w:pPr>
        <w:spacing w:after="102" w:line="259" w:lineRule="auto"/>
        <w:ind w:left="284"/>
        <w:jc w:val="both"/>
      </w:pPr>
      <w:r>
        <w:rPr>
          <w:sz w:val="28"/>
        </w:rPr>
        <w:tab/>
      </w:r>
      <w:r w:rsidR="00FB1F9E">
        <w:rPr>
          <w:sz w:val="28"/>
        </w:rPr>
        <w:t>2</w:t>
      </w:r>
      <w:r w:rsidR="008E3965">
        <w:rPr>
          <w:sz w:val="28"/>
        </w:rPr>
        <w:t>. Points de Challenge</w:t>
      </w:r>
    </w:p>
    <w:p w:rsidR="005F13A4" w:rsidRDefault="008E3965" w:rsidP="005F13A4">
      <w:pPr>
        <w:ind w:left="-5" w:right="1"/>
        <w:jc w:val="both"/>
      </w:pPr>
      <w:r>
        <w:t xml:space="preserve">Chaque tournoi comptant pour le Challenge </w:t>
      </w:r>
      <w:r w:rsidR="00000EB1">
        <w:t>Hubert Dupont</w:t>
      </w:r>
      <w:r>
        <w:t xml:space="preserve"> donne droit à des points de Challenge. Les points de Challenge sont obtenus à partir du classement </w:t>
      </w:r>
      <w:r w:rsidR="00000EB1">
        <w:t xml:space="preserve">établi. Le nombre de points </w:t>
      </w:r>
      <w:r>
        <w:t xml:space="preserve">dépend de </w:t>
      </w:r>
      <w:r w:rsidR="00000EB1">
        <w:t xml:space="preserve">la place obtenue par </w:t>
      </w:r>
      <w:r w:rsidR="005F13A4">
        <w:t>la paire</w:t>
      </w:r>
      <w:r>
        <w:t xml:space="preserve">, du nombre </w:t>
      </w:r>
      <w:r w:rsidR="005F13A4">
        <w:t>de paires</w:t>
      </w:r>
      <w:r w:rsidR="00000EB1">
        <w:t xml:space="preserve"> ayant participé à ce tournoi (N</w:t>
      </w:r>
      <w:r>
        <w:t>), de l’indice de va</w:t>
      </w:r>
      <w:r w:rsidR="00000EB1">
        <w:t>leur moyen des paires (IVM)</w:t>
      </w:r>
      <w:r w:rsidR="005F13A4">
        <w:t>.</w:t>
      </w:r>
    </w:p>
    <w:p w:rsidR="00B956F7" w:rsidRDefault="00B956F7" w:rsidP="005F13A4">
      <w:pPr>
        <w:ind w:left="-5" w:right="1"/>
        <w:jc w:val="both"/>
      </w:pPr>
    </w:p>
    <w:p w:rsidR="00141C12" w:rsidRDefault="005F13A4" w:rsidP="005F02BF">
      <w:pPr>
        <w:numPr>
          <w:ilvl w:val="0"/>
          <w:numId w:val="4"/>
        </w:numPr>
        <w:spacing w:after="102" w:line="259" w:lineRule="auto"/>
        <w:ind w:left="284"/>
        <w:jc w:val="both"/>
      </w:pPr>
      <w:r>
        <w:rPr>
          <w:sz w:val="28"/>
        </w:rPr>
        <w:t>Joueurs concernés</w:t>
      </w:r>
      <w:r w:rsidR="008E3965">
        <w:rPr>
          <w:sz w:val="28"/>
        </w:rPr>
        <w:t xml:space="preserve"> </w:t>
      </w:r>
    </w:p>
    <w:p w:rsidR="005F13A4" w:rsidRDefault="008E3965" w:rsidP="005F13A4">
      <w:pPr>
        <w:spacing w:after="219"/>
        <w:ind w:left="-5" w:right="1"/>
        <w:jc w:val="both"/>
      </w:pPr>
      <w:r>
        <w:t>Seuls les joueurs ayant pris une licence FFB dans un club du</w:t>
      </w:r>
      <w:r>
        <w:rPr>
          <w:color w:val="EE0000"/>
        </w:rPr>
        <w:t xml:space="preserve"> </w:t>
      </w:r>
      <w:r>
        <w:t xml:space="preserve">Comité de </w:t>
      </w:r>
      <w:r w:rsidR="00000EB1">
        <w:t>l’Auvergne</w:t>
      </w:r>
      <w:r>
        <w:t xml:space="preserve"> et à jour de leur cotisation peuvent prétendre à l’obtention des points de performance (PP) et des points d’expert (PE) à l’issue d</w:t>
      </w:r>
      <w:r w:rsidR="00000EB1">
        <w:t>u classement final du Challenge.</w:t>
      </w:r>
    </w:p>
    <w:p w:rsidR="00B956F7" w:rsidRDefault="00B956F7" w:rsidP="005F13A4">
      <w:pPr>
        <w:spacing w:after="219"/>
        <w:ind w:left="-5" w:right="1"/>
        <w:jc w:val="both"/>
      </w:pPr>
    </w:p>
    <w:p w:rsidR="00141C12" w:rsidRDefault="008E3965" w:rsidP="00FB1F9E">
      <w:pPr>
        <w:numPr>
          <w:ilvl w:val="0"/>
          <w:numId w:val="4"/>
        </w:numPr>
        <w:spacing w:after="102" w:line="259" w:lineRule="auto"/>
      </w:pPr>
      <w:r>
        <w:rPr>
          <w:sz w:val="28"/>
        </w:rPr>
        <w:t>Classement général du Challenge</w:t>
      </w:r>
    </w:p>
    <w:p w:rsidR="00141C12" w:rsidRDefault="008E3965">
      <w:pPr>
        <w:ind w:left="-5" w:right="1"/>
      </w:pPr>
      <w:r>
        <w:t>→ Le classement général sera établi en prenant en compte les « 7 » meilleurs résultats de chaque joueur</w:t>
      </w:r>
      <w:r w:rsidR="005F13A4">
        <w:rPr>
          <w:strike/>
        </w:rPr>
        <w:t>.</w:t>
      </w:r>
    </w:p>
    <w:p w:rsidR="00141C12" w:rsidRDefault="008E3965">
      <w:pPr>
        <w:ind w:left="-5" w:right="1"/>
      </w:pPr>
      <w:r>
        <w:lastRenderedPageBreak/>
        <w:t xml:space="preserve">→ Le classement est arrêté en fin de saison. </w:t>
      </w:r>
    </w:p>
    <w:p w:rsidR="005F13A4" w:rsidRDefault="008E3965" w:rsidP="005F13A4">
      <w:pPr>
        <w:ind w:left="-5" w:right="1"/>
        <w:jc w:val="both"/>
      </w:pPr>
      <w:r>
        <w:t xml:space="preserve">→ Le vainqueur </w:t>
      </w:r>
      <w:r w:rsidR="00000EB1">
        <w:t>de chaque série est récompensé</w:t>
      </w:r>
      <w:r>
        <w:t xml:space="preserve"> lors de l’AG du Comité. </w:t>
      </w:r>
    </w:p>
    <w:p w:rsidR="005F13A4" w:rsidRDefault="005F13A4" w:rsidP="00B956F7">
      <w:pPr>
        <w:ind w:left="-5" w:right="1"/>
        <w:jc w:val="both"/>
      </w:pPr>
      <w:r>
        <w:t xml:space="preserve">→ </w:t>
      </w:r>
      <w:r>
        <w:rPr>
          <w:rStyle w:val="Accentuation"/>
          <w:i w:val="0"/>
          <w:color w:val="222222"/>
          <w:shd w:val="clear" w:color="auto" w:fill="FFFFFF"/>
        </w:rPr>
        <w:t>Les séries restent basées sur les Indices de Valeur IV</w:t>
      </w:r>
    </w:p>
    <w:p w:rsidR="00B956F7" w:rsidRDefault="00B956F7" w:rsidP="00B956F7">
      <w:pPr>
        <w:ind w:left="-5" w:right="1"/>
      </w:pPr>
    </w:p>
    <w:p w:rsidR="00141C12" w:rsidRPr="005F13A4" w:rsidRDefault="008E3965" w:rsidP="005F13A4">
      <w:pPr>
        <w:ind w:left="-5" w:right="1"/>
      </w:pPr>
      <w:r>
        <w:rPr>
          <w:b/>
        </w:rPr>
        <w:t xml:space="preserve">Attribution des PP </w:t>
      </w:r>
      <w:r w:rsidR="00B956F7">
        <w:rPr>
          <w:b/>
        </w:rPr>
        <w:t>*</w:t>
      </w:r>
      <w:r>
        <w:rPr>
          <w:b/>
        </w:rPr>
        <w:t xml:space="preserve">: </w:t>
      </w: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 w:rsidRPr="00AC5A09">
        <w:rPr>
          <w:rStyle w:val="Accentuation"/>
          <w:i w:val="0"/>
          <w:color w:val="222222"/>
          <w:shd w:val="clear" w:color="auto" w:fill="FFFFFF"/>
        </w:rPr>
        <w:t xml:space="preserve">Les </w:t>
      </w:r>
      <w:r>
        <w:rPr>
          <w:rStyle w:val="Accentuation"/>
          <w:i w:val="0"/>
          <w:color w:val="222222"/>
          <w:shd w:val="clear" w:color="auto" w:fill="FFFFFF"/>
        </w:rPr>
        <w:t>PP</w:t>
      </w:r>
      <w:r w:rsidRPr="00AC5A09">
        <w:rPr>
          <w:rStyle w:val="Accentuation"/>
          <w:i w:val="0"/>
          <w:color w:val="222222"/>
          <w:shd w:val="clear" w:color="auto" w:fill="FFFFFF"/>
        </w:rPr>
        <w:t xml:space="preserve"> seront répartis graduellement sur environ les 40 premiers du classement "Open". </w:t>
      </w:r>
    </w:p>
    <w:p w:rsidR="008E3965" w:rsidRDefault="008E3965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02BF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 xml:space="preserve">Ils ne sont pas cumulables et sont limités à 30 </w:t>
      </w:r>
      <w:r w:rsidR="005F02BF">
        <w:rPr>
          <w:rStyle w:val="Accentuation"/>
          <w:i w:val="0"/>
          <w:color w:val="222222"/>
          <w:shd w:val="clear" w:color="auto" w:fill="FFFFFF"/>
        </w:rPr>
        <w:t>PP par licencié par an.</w:t>
      </w:r>
    </w:p>
    <w:p w:rsidR="00B956F7" w:rsidRDefault="00B956F7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>30 PP aux 5 premiers, 25 du 6</w:t>
      </w:r>
      <w:r w:rsidRPr="00AC5A09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au 10</w:t>
      </w:r>
      <w:r w:rsidRPr="00AC5A09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>, 20 du 11</w:t>
      </w:r>
      <w:r w:rsidRPr="00AC5A09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au 15</w:t>
      </w:r>
      <w:r w:rsidRPr="005F00C8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puis de façon dégressive. </w:t>
      </w:r>
    </w:p>
    <w:p w:rsidR="008E3965" w:rsidRDefault="008E3965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8E3965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 xml:space="preserve">N.B : </w:t>
      </w:r>
      <w:r w:rsidR="005F13A4">
        <w:rPr>
          <w:rStyle w:val="Accentuation"/>
          <w:i w:val="0"/>
          <w:color w:val="222222"/>
          <w:shd w:val="clear" w:color="auto" w:fill="FFFFFF"/>
        </w:rPr>
        <w:t>Si N &lt; 7, alors le nombre de PP est diminué de 7 –</w:t>
      </w:r>
      <w:r>
        <w:rPr>
          <w:rStyle w:val="Accentuation"/>
          <w:i w:val="0"/>
          <w:color w:val="222222"/>
          <w:shd w:val="clear" w:color="auto" w:fill="FFFFFF"/>
        </w:rPr>
        <w:t xml:space="preserve"> N</w:t>
      </w: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>En série 2, le premier a 20 PP, le 2</w:t>
      </w:r>
      <w:r w:rsidRPr="005F00C8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 = 15,  le 3</w:t>
      </w:r>
      <w:r w:rsidRPr="008E592B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= 12, puis 10, 8 &amp; 6 </w:t>
      </w:r>
    </w:p>
    <w:p w:rsidR="00B956F7" w:rsidRDefault="00B956F7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>En série 3, le premier a 10 PP, le 2</w:t>
      </w:r>
      <w:r w:rsidRPr="005F00C8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 = 8,  le 3</w:t>
      </w:r>
      <w:r w:rsidRPr="008E592B">
        <w:rPr>
          <w:rStyle w:val="Accentuation"/>
          <w:i w:val="0"/>
          <w:color w:val="222222"/>
          <w:shd w:val="clear" w:color="auto" w:fill="FFFFFF"/>
          <w:vertAlign w:val="superscript"/>
        </w:rPr>
        <w:t>ième</w:t>
      </w:r>
      <w:r>
        <w:rPr>
          <w:rStyle w:val="Accentuation"/>
          <w:i w:val="0"/>
          <w:color w:val="222222"/>
          <w:shd w:val="clear" w:color="auto" w:fill="FFFFFF"/>
        </w:rPr>
        <w:t xml:space="preserve"> = 6 puis 5</w:t>
      </w:r>
    </w:p>
    <w:p w:rsidR="00B956F7" w:rsidRDefault="00B956F7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>En série 4, les 3 premiers ont eu 7 PP l’an dernier.</w:t>
      </w:r>
    </w:p>
    <w:p w:rsidR="00B956F7" w:rsidRDefault="00B956F7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B956F7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 xml:space="preserve">* Ces valeurs sont susceptibles de varier un peu </w:t>
      </w:r>
      <w:r w:rsidR="008E3965">
        <w:rPr>
          <w:rStyle w:val="Accentuation"/>
          <w:i w:val="0"/>
          <w:color w:val="222222"/>
          <w:shd w:val="clear" w:color="auto" w:fill="FFFFFF"/>
        </w:rPr>
        <w:t xml:space="preserve">chaque année </w:t>
      </w:r>
      <w:r>
        <w:rPr>
          <w:rStyle w:val="Accentuation"/>
          <w:i w:val="0"/>
          <w:color w:val="222222"/>
          <w:shd w:val="clear" w:color="auto" w:fill="FFFFFF"/>
        </w:rPr>
        <w:t>en fonction du nombre de PP disponibles</w:t>
      </w:r>
      <w:r w:rsidR="00B956F7">
        <w:rPr>
          <w:rStyle w:val="Accentuation"/>
          <w:i w:val="0"/>
          <w:color w:val="222222"/>
          <w:shd w:val="clear" w:color="auto" w:fill="FFFFFF"/>
        </w:rPr>
        <w:t xml:space="preserve"> (dotation FFB)</w:t>
      </w:r>
      <w:r>
        <w:rPr>
          <w:rStyle w:val="Accentuation"/>
          <w:i w:val="0"/>
          <w:color w:val="222222"/>
          <w:shd w:val="clear" w:color="auto" w:fill="FFFFFF"/>
        </w:rPr>
        <w:t xml:space="preserve">. </w:t>
      </w: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>Dans la mesure du possible, un bonus est accordé aux joueurs faisant au moins 7 tournois.</w:t>
      </w: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141C12" w:rsidRDefault="008E3965" w:rsidP="005F13A4">
      <w:pPr>
        <w:spacing w:after="0" w:line="240" w:lineRule="auto"/>
        <w:ind w:right="-284"/>
      </w:pPr>
      <w:r>
        <w:rPr>
          <w:b/>
        </w:rPr>
        <w:t>Attribution des PE</w:t>
      </w:r>
      <w:r w:rsidR="00B956F7">
        <w:rPr>
          <w:b/>
        </w:rPr>
        <w:t>*</w:t>
      </w:r>
      <w:r>
        <w:t xml:space="preserve"> : </w:t>
      </w:r>
    </w:p>
    <w:p w:rsidR="005F13A4" w:rsidRDefault="005F13A4" w:rsidP="005F13A4">
      <w:pPr>
        <w:spacing w:after="0" w:line="240" w:lineRule="auto"/>
        <w:ind w:right="-284"/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 w:rsidRPr="00AC5A09">
        <w:rPr>
          <w:rStyle w:val="Accentuation"/>
          <w:i w:val="0"/>
          <w:color w:val="222222"/>
          <w:shd w:val="clear" w:color="auto" w:fill="FFFFFF"/>
        </w:rPr>
        <w:t xml:space="preserve">Les points d’Expert sont distribués aux </w:t>
      </w:r>
      <w:r>
        <w:rPr>
          <w:rStyle w:val="Accentuation"/>
          <w:i w:val="0"/>
          <w:color w:val="222222"/>
          <w:shd w:val="clear" w:color="auto" w:fill="FFFFFF"/>
        </w:rPr>
        <w:t xml:space="preserve">séries 2, 3 &amp; 4 en fonction du classement final à tout joueur ayant participé </w:t>
      </w:r>
      <w:r w:rsidRPr="00B956F7">
        <w:rPr>
          <w:rStyle w:val="Accentuation"/>
          <w:b/>
          <w:i w:val="0"/>
          <w:color w:val="auto"/>
          <w:shd w:val="clear" w:color="auto" w:fill="FFFFFF"/>
        </w:rPr>
        <w:t xml:space="preserve">à au moins 2 tournois </w:t>
      </w:r>
      <w:r>
        <w:rPr>
          <w:rStyle w:val="Accentuation"/>
          <w:i w:val="0"/>
          <w:color w:val="222222"/>
          <w:shd w:val="clear" w:color="auto" w:fill="FFFFFF"/>
        </w:rPr>
        <w:t>dans la saison.</w:t>
      </w: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</w:pPr>
      <w:r>
        <w:t>Série 4 : 3000 PE au 1</w:t>
      </w:r>
      <w:r w:rsidRPr="002B127B">
        <w:rPr>
          <w:vertAlign w:val="superscript"/>
        </w:rPr>
        <w:t>er</w:t>
      </w:r>
      <w:r>
        <w:t>, 2500 au 2</w:t>
      </w:r>
      <w:r w:rsidRPr="002B127B">
        <w:rPr>
          <w:vertAlign w:val="superscript"/>
        </w:rPr>
        <w:t>ième</w:t>
      </w:r>
      <w:r>
        <w:t xml:space="preserve"> et 2000 au 3</w:t>
      </w:r>
      <w:r w:rsidRPr="002B127B">
        <w:rPr>
          <w:vertAlign w:val="superscript"/>
        </w:rPr>
        <w:t>ième</w:t>
      </w:r>
      <w:r>
        <w:rPr>
          <w:vertAlign w:val="superscript"/>
        </w:rPr>
        <w:t> </w:t>
      </w:r>
      <w:r>
        <w:t xml:space="preserve">; </w:t>
      </w:r>
    </w:p>
    <w:p w:rsidR="005F13A4" w:rsidRDefault="005F13A4" w:rsidP="005F13A4">
      <w:pPr>
        <w:spacing w:after="0" w:line="240" w:lineRule="auto"/>
        <w:ind w:right="-284"/>
      </w:pPr>
      <w:r>
        <w:t>Et pour la participation : 100PE pour 2 tournois, 300PE pour 3, …</w:t>
      </w:r>
    </w:p>
    <w:p w:rsidR="005F13A4" w:rsidRDefault="005F13A4" w:rsidP="005F13A4">
      <w:pPr>
        <w:spacing w:after="0" w:line="240" w:lineRule="auto"/>
        <w:ind w:right="-284"/>
      </w:pPr>
    </w:p>
    <w:p w:rsidR="005F13A4" w:rsidRDefault="005F13A4" w:rsidP="005F13A4">
      <w:pPr>
        <w:spacing w:after="0" w:line="240" w:lineRule="auto"/>
        <w:ind w:right="-284"/>
      </w:pPr>
      <w:r>
        <w:t>Série 3 : 2800 PE au 1</w:t>
      </w:r>
      <w:r w:rsidRPr="002B127B">
        <w:rPr>
          <w:vertAlign w:val="superscript"/>
        </w:rPr>
        <w:t>er</w:t>
      </w:r>
      <w:r>
        <w:t>, 2500 au 2</w:t>
      </w:r>
      <w:r w:rsidRPr="002B127B">
        <w:rPr>
          <w:vertAlign w:val="superscript"/>
        </w:rPr>
        <w:t>ième</w:t>
      </w:r>
      <w:r>
        <w:t xml:space="preserve"> et 2200 au 3</w:t>
      </w:r>
      <w:r w:rsidRPr="002B127B">
        <w:rPr>
          <w:vertAlign w:val="superscript"/>
        </w:rPr>
        <w:t>ième</w:t>
      </w:r>
      <w:r>
        <w:rPr>
          <w:vertAlign w:val="superscript"/>
        </w:rPr>
        <w:t> </w:t>
      </w:r>
      <w:r>
        <w:t>puis dégressif jusqu’au 16</w:t>
      </w:r>
      <w:r w:rsidRPr="00981A82">
        <w:rPr>
          <w:vertAlign w:val="superscript"/>
        </w:rPr>
        <w:t>ième</w:t>
      </w:r>
      <w:r>
        <w:t xml:space="preserve"> environ. </w:t>
      </w:r>
    </w:p>
    <w:p w:rsidR="005F13A4" w:rsidRDefault="005F13A4" w:rsidP="005F13A4">
      <w:pPr>
        <w:spacing w:after="0" w:line="240" w:lineRule="auto"/>
        <w:ind w:right="-284"/>
      </w:pPr>
      <w:r>
        <w:t>Et pour la participation : 100PE pour 2 tournois, 300PE pour 3, …</w:t>
      </w:r>
    </w:p>
    <w:p w:rsidR="00B956F7" w:rsidRDefault="00B956F7" w:rsidP="005F13A4">
      <w:pPr>
        <w:spacing w:after="0" w:line="240" w:lineRule="auto"/>
        <w:ind w:right="-284"/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  <w:r>
        <w:rPr>
          <w:rStyle w:val="Accentuation"/>
          <w:i w:val="0"/>
          <w:color w:val="222222"/>
          <w:shd w:val="clear" w:color="auto" w:fill="FFFFFF"/>
        </w:rPr>
        <w:t xml:space="preserve">* Ces valeurs sont susceptibles de varier un peu </w:t>
      </w:r>
      <w:r w:rsidR="008E3965">
        <w:rPr>
          <w:rStyle w:val="Accentuation"/>
          <w:i w:val="0"/>
          <w:color w:val="222222"/>
          <w:shd w:val="clear" w:color="auto" w:fill="FFFFFF"/>
        </w:rPr>
        <w:t xml:space="preserve">chaque année </w:t>
      </w:r>
      <w:r>
        <w:rPr>
          <w:rStyle w:val="Accentuation"/>
          <w:i w:val="0"/>
          <w:color w:val="222222"/>
          <w:shd w:val="clear" w:color="auto" w:fill="FFFFFF"/>
        </w:rPr>
        <w:t>en fonction du nombre de PE disponibles</w:t>
      </w:r>
      <w:r w:rsidR="00B956F7">
        <w:rPr>
          <w:rStyle w:val="Accentuation"/>
          <w:i w:val="0"/>
          <w:color w:val="222222"/>
          <w:shd w:val="clear" w:color="auto" w:fill="FFFFFF"/>
        </w:rPr>
        <w:t xml:space="preserve"> (dotation FFB)</w:t>
      </w:r>
      <w:r w:rsidR="008E3965">
        <w:rPr>
          <w:rStyle w:val="Accentuation"/>
          <w:i w:val="0"/>
          <w:color w:val="222222"/>
          <w:shd w:val="clear" w:color="auto" w:fill="FFFFFF"/>
        </w:rPr>
        <w:t xml:space="preserve"> &amp; du nombre de joueurs classés.</w:t>
      </w:r>
      <w:bookmarkStart w:id="0" w:name="_GoBack"/>
      <w:bookmarkEnd w:id="0"/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Default="005F13A4" w:rsidP="005F13A4">
      <w:pPr>
        <w:spacing w:after="0" w:line="240" w:lineRule="auto"/>
        <w:ind w:right="-284"/>
        <w:rPr>
          <w:rStyle w:val="Accentuation"/>
          <w:i w:val="0"/>
          <w:color w:val="222222"/>
          <w:shd w:val="clear" w:color="auto" w:fill="FFFFFF"/>
        </w:rPr>
      </w:pPr>
    </w:p>
    <w:p w:rsidR="005F13A4" w:rsidRPr="00D6294B" w:rsidRDefault="005F13A4" w:rsidP="005F13A4">
      <w:pPr>
        <w:spacing w:after="0" w:line="240" w:lineRule="auto"/>
        <w:ind w:right="-284"/>
      </w:pPr>
    </w:p>
    <w:p w:rsidR="005F13A4" w:rsidRPr="005F13A4" w:rsidRDefault="005F13A4" w:rsidP="005F13A4">
      <w:pPr>
        <w:spacing w:after="0" w:line="240" w:lineRule="auto"/>
        <w:ind w:right="-284"/>
        <w:rPr>
          <w:iCs/>
          <w:color w:val="222222"/>
          <w:shd w:val="clear" w:color="auto" w:fill="FFFFFF"/>
        </w:rPr>
      </w:pPr>
    </w:p>
    <w:p w:rsidR="00141C12" w:rsidRDefault="008E3965" w:rsidP="00000EB1">
      <w:pPr>
        <w:ind w:left="-5" w:right="1"/>
      </w:pPr>
      <w:r>
        <w:t xml:space="preserve">                                                                                                                                                  Le Comité </w:t>
      </w:r>
    </w:p>
    <w:sectPr w:rsidR="00141C12" w:rsidSect="00944351">
      <w:pgSz w:w="11906" w:h="16838"/>
      <w:pgMar w:top="1121" w:right="1075" w:bottom="951" w:left="10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597"/>
    <w:multiLevelType w:val="hybridMultilevel"/>
    <w:tmpl w:val="FDF8DA86"/>
    <w:lvl w:ilvl="0" w:tplc="07CEEE3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E9410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4FD08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AC3BA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46C8C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145AD4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41216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843BA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A8400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F00771"/>
    <w:multiLevelType w:val="hybridMultilevel"/>
    <w:tmpl w:val="4EA8DEA8"/>
    <w:lvl w:ilvl="0" w:tplc="7E168D3E">
      <w:start w:val="1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0F7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EEA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4D9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C02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A0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83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8FA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E8A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391338"/>
    <w:multiLevelType w:val="hybridMultilevel"/>
    <w:tmpl w:val="1F5C7C66"/>
    <w:lvl w:ilvl="0" w:tplc="EC4CE5E0">
      <w:start w:val="5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87F8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0A89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6FFA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A28C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AB9A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24F0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B41B2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2C9A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69131E"/>
    <w:multiLevelType w:val="hybridMultilevel"/>
    <w:tmpl w:val="24C06040"/>
    <w:lvl w:ilvl="0" w:tplc="CAF01250">
      <w:start w:val="3"/>
      <w:numFmt w:val="decimal"/>
      <w:lvlText w:val="%1."/>
      <w:lvlJc w:val="left"/>
      <w:pPr>
        <w:ind w:left="27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41C12"/>
    <w:rsid w:val="00000EB1"/>
    <w:rsid w:val="00020118"/>
    <w:rsid w:val="000E3F6A"/>
    <w:rsid w:val="000F22CE"/>
    <w:rsid w:val="00141C12"/>
    <w:rsid w:val="00201102"/>
    <w:rsid w:val="004B1C30"/>
    <w:rsid w:val="004C441A"/>
    <w:rsid w:val="005F02BF"/>
    <w:rsid w:val="005F13A4"/>
    <w:rsid w:val="0061655F"/>
    <w:rsid w:val="008E3965"/>
    <w:rsid w:val="00944351"/>
    <w:rsid w:val="00B956F7"/>
    <w:rsid w:val="00C830E2"/>
    <w:rsid w:val="00D51E35"/>
    <w:rsid w:val="00FB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51"/>
    <w:pPr>
      <w:spacing w:after="163" w:line="258" w:lineRule="auto"/>
      <w:ind w:left="12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F13A4"/>
    <w:rPr>
      <w:i/>
      <w:iCs/>
    </w:rPr>
  </w:style>
  <w:style w:type="paragraph" w:styleId="Paragraphedeliste">
    <w:name w:val="List Paragraph"/>
    <w:basedOn w:val="Normal"/>
    <w:uiPriority w:val="34"/>
    <w:qFormat/>
    <w:rsid w:val="005F1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UJM-IUT Roanne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moreau</dc:creator>
  <cp:keywords/>
  <cp:lastModifiedBy>hp</cp:lastModifiedBy>
  <cp:revision>14</cp:revision>
  <dcterms:created xsi:type="dcterms:W3CDTF">2025-11-03T16:49:00Z</dcterms:created>
  <dcterms:modified xsi:type="dcterms:W3CDTF">2025-11-13T10:08:00Z</dcterms:modified>
</cp:coreProperties>
</file>